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FC6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D9A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770F7D">
        <w:rPr>
          <w:rFonts w:ascii="Times New Roman" w:hAnsi="Times New Roman"/>
          <w:b/>
          <w:sz w:val="28"/>
          <w:szCs w:val="28"/>
        </w:rPr>
        <w:t>Богдана Хмельницкого 24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утепление подвальных и чердачных продухов. 550,00 р.</w:t>
      </w:r>
    </w:p>
    <w:p w:rsidR="0093141E" w:rsidRDefault="0093141E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сигнальной лентой 250,00 р.</w:t>
      </w:r>
    </w:p>
    <w:p w:rsidR="0093141E" w:rsidRP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0F7D">
        <w:rPr>
          <w:rFonts w:ascii="Times New Roman" w:hAnsi="Times New Roman"/>
          <w:b/>
          <w:sz w:val="28"/>
          <w:szCs w:val="28"/>
        </w:rPr>
        <w:t>2182,00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0F7D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C6D9A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D4DE-85DA-492D-9AAA-A521B728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2</cp:revision>
  <cp:lastPrinted>2014-09-15T07:27:00Z</cp:lastPrinted>
  <dcterms:created xsi:type="dcterms:W3CDTF">2016-03-14T04:31:00Z</dcterms:created>
  <dcterms:modified xsi:type="dcterms:W3CDTF">2016-03-14T04:31:00Z</dcterms:modified>
</cp:coreProperties>
</file>